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5B4ED"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01AAA76B" w14:textId="77777777" w:rsidR="005456D8" w:rsidRPr="005C7EE8" w:rsidRDefault="005456D8" w:rsidP="006D40AB">
      <w:pPr>
        <w:pStyle w:val="Heading1"/>
        <w:spacing w:before="0" w:after="0"/>
        <w:rPr>
          <w:rFonts w:asciiTheme="minorHAnsi" w:hAnsiTheme="minorHAnsi" w:cs="Arial"/>
          <w:sz w:val="72"/>
          <w:szCs w:val="72"/>
          <w:lang w:val="en-GB"/>
        </w:rPr>
      </w:pPr>
    </w:p>
    <w:p w14:paraId="0AE553A5"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1AC69506" w14:textId="77777777" w:rsidR="000B7741" w:rsidRPr="005C7EE8" w:rsidRDefault="000B7741" w:rsidP="006D40AB">
      <w:pPr>
        <w:pStyle w:val="Heading1"/>
        <w:spacing w:before="0" w:after="0"/>
        <w:rPr>
          <w:rFonts w:asciiTheme="minorHAnsi" w:hAnsiTheme="minorHAnsi" w:cs="Arial"/>
          <w:sz w:val="24"/>
          <w:szCs w:val="28"/>
          <w:lang w:val="en-GB"/>
        </w:rPr>
      </w:pPr>
    </w:p>
    <w:p w14:paraId="4F4FB480" w14:textId="77777777" w:rsidR="000B7741" w:rsidRPr="005C7EE8" w:rsidRDefault="000B7741" w:rsidP="006D40AB">
      <w:pPr>
        <w:pStyle w:val="Heading1"/>
        <w:spacing w:before="0" w:after="0"/>
        <w:rPr>
          <w:rFonts w:asciiTheme="minorHAnsi" w:hAnsiTheme="minorHAnsi" w:cs="Arial"/>
          <w:sz w:val="28"/>
          <w:szCs w:val="28"/>
          <w:lang w:val="en-GB"/>
        </w:rPr>
      </w:pPr>
    </w:p>
    <w:p w14:paraId="3FCC7F55" w14:textId="2AB9BC04" w:rsidR="00D80C76" w:rsidRPr="00E05358" w:rsidRDefault="000646AD" w:rsidP="006D40AB">
      <w:pPr>
        <w:rPr>
          <w:rFonts w:asciiTheme="minorHAnsi" w:hAnsiTheme="minorHAnsi" w:cs="Arial"/>
          <w:b/>
          <w:bCs/>
          <w:kern w:val="32"/>
          <w:sz w:val="56"/>
          <w:szCs w:val="72"/>
          <w:lang w:val="en-GB"/>
        </w:rPr>
      </w:pPr>
      <w:r>
        <w:rPr>
          <w:rFonts w:asciiTheme="minorHAnsi" w:hAnsiTheme="minorHAnsi" w:cs="Arial"/>
          <w:b/>
          <w:bCs/>
          <w:kern w:val="32"/>
          <w:sz w:val="56"/>
          <w:szCs w:val="72"/>
          <w:lang w:val="en-GB"/>
        </w:rPr>
        <w:t>ILKESTON TENNIS CLUB</w:t>
      </w:r>
    </w:p>
    <w:p w14:paraId="233DC688" w14:textId="77777777" w:rsidR="000B7741" w:rsidRPr="00E05358" w:rsidRDefault="000B7741" w:rsidP="006D40AB">
      <w:pPr>
        <w:pStyle w:val="Heading1"/>
        <w:spacing w:before="0" w:after="0"/>
        <w:rPr>
          <w:rFonts w:asciiTheme="minorHAnsi" w:hAnsiTheme="minorHAnsi" w:cs="Arial"/>
          <w:sz w:val="56"/>
          <w:szCs w:val="72"/>
          <w:lang w:val="en-GB"/>
        </w:rPr>
      </w:pPr>
    </w:p>
    <w:p w14:paraId="13F62367" w14:textId="77777777" w:rsidR="00261638" w:rsidRDefault="00261638">
      <w:pPr>
        <w:rPr>
          <w:rStyle w:val="Heading1Char"/>
          <w:rFonts w:ascii="Calibri" w:hAnsi="Calibri"/>
        </w:rPr>
      </w:pPr>
      <w:r>
        <w:rPr>
          <w:rStyle w:val="Heading1Char"/>
          <w:rFonts w:ascii="Calibri" w:hAnsi="Calibri"/>
        </w:rPr>
        <w:br w:type="page"/>
      </w:r>
    </w:p>
    <w:p w14:paraId="64B8F1A5"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261B2EDE" w14:textId="77777777" w:rsidR="006349D0" w:rsidRPr="006A7DE1" w:rsidRDefault="006349D0" w:rsidP="006A7DE1">
      <w:pPr>
        <w:rPr>
          <w:rFonts w:asciiTheme="minorHAnsi" w:hAnsiTheme="minorHAnsi" w:cs="Arial"/>
          <w:b/>
          <w:sz w:val="22"/>
          <w:szCs w:val="22"/>
        </w:rPr>
      </w:pPr>
    </w:p>
    <w:p w14:paraId="7BE1D203"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2142B55A"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4008"/>
        <w:gridCol w:w="4999"/>
      </w:tblGrid>
      <w:tr w:rsidR="00DE5F9A" w14:paraId="6B6B6AB9" w14:textId="77777777" w:rsidTr="00404055">
        <w:tc>
          <w:tcPr>
            <w:tcW w:w="793" w:type="pct"/>
            <w:shd w:val="clear" w:color="auto" w:fill="8DB3E2" w:themeFill="text2" w:themeFillTint="66"/>
          </w:tcPr>
          <w:p w14:paraId="173405B4"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41CB9339"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39DBBA77"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3D8D2905"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524B5FD1" wp14:editId="30A7B0DD">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9431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2C38E341" wp14:editId="1D730DB5">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4922DE"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14:paraId="4854927F" w14:textId="77777777" w:rsidTr="00404055">
        <w:tc>
          <w:tcPr>
            <w:tcW w:w="793" w:type="pct"/>
            <w:shd w:val="clear" w:color="auto" w:fill="F2DBDB" w:themeFill="accent2" w:themeFillTint="33"/>
          </w:tcPr>
          <w:p w14:paraId="12EA271B"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3BEAFFDD"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41669EF2"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18EC85B4"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44D2116C"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49F33D91" w14:textId="77777777" w:rsidR="000C262E" w:rsidRPr="00DE5F9A" w:rsidRDefault="000C262E" w:rsidP="00DE5F9A">
            <w:pPr>
              <w:rPr>
                <w:rFonts w:asciiTheme="minorHAnsi" w:hAnsiTheme="minorHAnsi" w:cs="Arial"/>
                <w:sz w:val="22"/>
                <w:szCs w:val="22"/>
              </w:rPr>
            </w:pPr>
          </w:p>
          <w:p w14:paraId="138DBBA5"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3F6465DC" w14:textId="77777777" w:rsidR="000C262E" w:rsidRDefault="000C262E" w:rsidP="006A7DE1">
            <w:pPr>
              <w:rPr>
                <w:rFonts w:asciiTheme="minorHAnsi" w:hAnsiTheme="minorHAnsi" w:cs="Arial"/>
                <w:b/>
                <w:sz w:val="22"/>
                <w:szCs w:val="22"/>
                <w:lang w:val="en-GB"/>
              </w:rPr>
            </w:pPr>
          </w:p>
          <w:p w14:paraId="09A47640"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61E18B1B" wp14:editId="24A2670C">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411852"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14:paraId="05593A1D" w14:textId="77777777" w:rsidR="000C262E" w:rsidRDefault="000C262E" w:rsidP="001A7A87">
            <w:pPr>
              <w:jc w:val="right"/>
              <w:rPr>
                <w:rFonts w:asciiTheme="minorHAnsi" w:hAnsiTheme="minorHAnsi" w:cs="Arial"/>
                <w:b/>
                <w:sz w:val="22"/>
                <w:szCs w:val="22"/>
                <w:lang w:val="en-GB"/>
              </w:rPr>
            </w:pPr>
          </w:p>
          <w:p w14:paraId="4B171B3D"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507CCF8C" w14:textId="67894A81"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0646AD">
              <w:rPr>
                <w:rFonts w:asciiTheme="minorHAnsi" w:hAnsiTheme="minorHAnsi" w:cs="Arial"/>
                <w:sz w:val="22"/>
                <w:szCs w:val="22"/>
              </w:rPr>
              <w:t>(Eddie Green 07483 244617 email: eddie.green@talk21.com).</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14:paraId="5F330646"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14:paraId="43849228" w14:textId="77777777" w:rsidR="000C262E" w:rsidRPr="00525FA2" w:rsidRDefault="000C262E" w:rsidP="00FC1914">
            <w:pPr>
              <w:rPr>
                <w:rFonts w:asciiTheme="minorHAnsi" w:hAnsiTheme="minorHAnsi" w:cs="Arial"/>
                <w:sz w:val="12"/>
                <w:szCs w:val="22"/>
              </w:rPr>
            </w:pPr>
          </w:p>
          <w:p w14:paraId="4FE7E37E"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2" w:history="1">
              <w:r w:rsidRPr="00FC1914">
                <w:rPr>
                  <w:rStyle w:val="Hyperlink"/>
                  <w:rFonts w:asciiTheme="minorHAnsi" w:hAnsiTheme="minorHAnsi" w:cs="Arial"/>
                  <w:sz w:val="22"/>
                  <w:szCs w:val="22"/>
                </w:rPr>
                <w:t>www.report-it.org.uk</w:t>
              </w:r>
            </w:hyperlink>
          </w:p>
          <w:p w14:paraId="0E0F463F"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055801D8" wp14:editId="1C4B5DB7">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FF9CE4"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14:paraId="7B06A0D2" w14:textId="77777777" w:rsidR="000C262E" w:rsidRPr="00FC1914" w:rsidRDefault="000C262E" w:rsidP="00FC1914">
            <w:pPr>
              <w:rPr>
                <w:rFonts w:asciiTheme="minorHAnsi" w:hAnsiTheme="minorHAnsi" w:cs="Arial"/>
                <w:b/>
                <w:sz w:val="22"/>
                <w:szCs w:val="22"/>
              </w:rPr>
            </w:pPr>
          </w:p>
        </w:tc>
      </w:tr>
      <w:tr w:rsidR="00DE5F9A" w14:paraId="71F52381" w14:textId="77777777" w:rsidTr="00404055">
        <w:tc>
          <w:tcPr>
            <w:tcW w:w="793" w:type="pct"/>
            <w:shd w:val="clear" w:color="auto" w:fill="8DB3E2" w:themeFill="text2" w:themeFillTint="66"/>
          </w:tcPr>
          <w:p w14:paraId="6F84F5DD"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5AD9166B"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553DFFE1"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3"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4"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468E41FD" w14:textId="77777777" w:rsidR="00DE5F9A" w:rsidRPr="00FC1914" w:rsidRDefault="00DE5F9A" w:rsidP="00FC1914">
            <w:pPr>
              <w:rPr>
                <w:rFonts w:asciiTheme="minorHAnsi" w:hAnsiTheme="minorHAnsi" w:cs="Arial"/>
                <w:sz w:val="22"/>
                <w:szCs w:val="22"/>
              </w:rPr>
            </w:pPr>
          </w:p>
          <w:p w14:paraId="5A866C49"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5" w:history="1">
              <w:r w:rsidR="006C693C" w:rsidRPr="00F83176">
                <w:rPr>
                  <w:rStyle w:val="Hyperlink"/>
                  <w:rFonts w:asciiTheme="minorHAnsi" w:hAnsiTheme="minorHAnsi" w:cs="Arial"/>
                  <w:sz w:val="22"/>
                  <w:szCs w:val="22"/>
                </w:rPr>
                <w:t>safeguarding@lta.org.uk</w:t>
              </w:r>
            </w:hyperlink>
          </w:p>
        </w:tc>
      </w:tr>
    </w:tbl>
    <w:p w14:paraId="645FF6C9" w14:textId="77777777" w:rsidR="00690700" w:rsidRDefault="00690700" w:rsidP="006A7DE1">
      <w:pPr>
        <w:rPr>
          <w:rFonts w:asciiTheme="minorHAnsi" w:hAnsiTheme="minorHAnsi" w:cs="Arial"/>
          <w:b/>
          <w:sz w:val="22"/>
          <w:szCs w:val="22"/>
          <w:lang w:val="en-GB"/>
        </w:rPr>
      </w:pPr>
    </w:p>
    <w:p w14:paraId="508B5EA7"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0DBAFA26"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591B303C" w14:textId="77777777" w:rsidR="00BA7943" w:rsidRDefault="00BA7943" w:rsidP="006A7DE1">
      <w:pPr>
        <w:rPr>
          <w:rFonts w:asciiTheme="minorHAnsi" w:hAnsiTheme="minorHAnsi" w:cs="Arial"/>
          <w:b/>
          <w:sz w:val="22"/>
          <w:szCs w:val="22"/>
          <w:lang w:val="en-GB"/>
        </w:rPr>
      </w:pPr>
    </w:p>
    <w:p w14:paraId="031662FD"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0CE03AB0" w14:textId="50DC9BE2"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0646AD">
        <w:rPr>
          <w:rFonts w:asciiTheme="minorHAnsi" w:hAnsiTheme="minorHAnsi" w:cs="Arial"/>
          <w:b/>
          <w:sz w:val="22"/>
          <w:szCs w:val="22"/>
          <w:lang w:val="en-GB"/>
        </w:rPr>
        <w:t>Ilkeston Tennis Club</w:t>
      </w:r>
    </w:p>
    <w:p w14:paraId="11381CF4" w14:textId="77777777" w:rsidR="00404055" w:rsidRPr="002D29D5" w:rsidRDefault="00404055" w:rsidP="00474191">
      <w:pPr>
        <w:rPr>
          <w:rFonts w:asciiTheme="minorHAnsi" w:hAnsiTheme="minorHAnsi" w:cs="Arial"/>
          <w:sz w:val="22"/>
          <w:szCs w:val="22"/>
          <w:lang w:val="en-GB"/>
        </w:rPr>
      </w:pPr>
    </w:p>
    <w:p w14:paraId="30BB6ACA"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20FC8DC8" w14:textId="77777777" w:rsidR="00FD4352" w:rsidRPr="001D2311" w:rsidRDefault="00FD4352" w:rsidP="005E08C6">
      <w:pPr>
        <w:rPr>
          <w:rFonts w:asciiTheme="minorHAnsi" w:hAnsiTheme="minorHAnsi" w:cs="Arial"/>
          <w:sz w:val="22"/>
          <w:szCs w:val="22"/>
          <w:lang w:val="en-GB"/>
        </w:rPr>
      </w:pPr>
    </w:p>
    <w:p w14:paraId="13D7EAF1"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5D5CE100"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4F309D18"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17078D05"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17B9B07E" w14:textId="77777777" w:rsidR="005E08C6" w:rsidRDefault="005E08C6" w:rsidP="005E08C6">
      <w:pPr>
        <w:rPr>
          <w:rFonts w:asciiTheme="minorHAnsi" w:hAnsiTheme="minorHAnsi" w:cs="Arial"/>
          <w:sz w:val="22"/>
          <w:szCs w:val="22"/>
          <w:lang w:val="en-GB"/>
        </w:rPr>
      </w:pPr>
    </w:p>
    <w:p w14:paraId="49B483AD"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2D2C5CA4" w14:textId="77777777" w:rsidR="005E08C6" w:rsidRPr="006D6E07" w:rsidRDefault="005E08C6" w:rsidP="00090BA8">
      <w:pPr>
        <w:rPr>
          <w:rFonts w:asciiTheme="minorHAnsi" w:hAnsiTheme="minorHAnsi" w:cs="Arial"/>
          <w:sz w:val="22"/>
          <w:szCs w:val="22"/>
          <w:lang w:val="en-GB"/>
        </w:rPr>
      </w:pPr>
    </w:p>
    <w:p w14:paraId="19EABC6C"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5D4B4197" w14:textId="77777777" w:rsidR="00E85A1F" w:rsidRPr="006D6E07" w:rsidRDefault="00E85A1F" w:rsidP="00474191">
      <w:pPr>
        <w:rPr>
          <w:rFonts w:asciiTheme="minorHAnsi" w:hAnsiTheme="minorHAnsi" w:cs="Arial"/>
          <w:sz w:val="22"/>
          <w:szCs w:val="22"/>
          <w:lang w:val="en-GB"/>
        </w:rPr>
      </w:pPr>
    </w:p>
    <w:p w14:paraId="2B202D33" w14:textId="14FFE59D"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w:t>
      </w:r>
      <w:r w:rsidR="000646AD">
        <w:rPr>
          <w:rFonts w:ascii="Calibri" w:hAnsi="Calibri" w:cs="Arial"/>
          <w:sz w:val="22"/>
          <w:szCs w:val="22"/>
        </w:rPr>
        <w:t>Ilkeston Tennis Club</w:t>
      </w:r>
      <w:r w:rsidR="003B5D08">
        <w:rPr>
          <w:rFonts w:ascii="Calibri" w:hAnsi="Calibri" w:cs="Arial"/>
          <w:sz w:val="22"/>
          <w:szCs w:val="22"/>
        </w:rPr>
        <w:t xml:space="preserve"> Committee</w:t>
      </w:r>
      <w:r w:rsidRPr="006D6E07">
        <w:rPr>
          <w:rFonts w:ascii="Calibri" w:hAnsi="Calibri" w:cs="Arial"/>
          <w:sz w:val="22"/>
          <w:szCs w:val="22"/>
        </w:rPr>
        <w:t>.</w:t>
      </w:r>
    </w:p>
    <w:p w14:paraId="0C72D439" w14:textId="77777777" w:rsidR="00BF6620" w:rsidRPr="006D6E07" w:rsidRDefault="00BF6620" w:rsidP="00474191">
      <w:pPr>
        <w:rPr>
          <w:rFonts w:asciiTheme="minorHAnsi" w:hAnsiTheme="minorHAnsi" w:cs="Arial"/>
          <w:sz w:val="22"/>
          <w:szCs w:val="22"/>
          <w:lang w:val="en-GB"/>
        </w:rPr>
      </w:pPr>
    </w:p>
    <w:p w14:paraId="2C444841"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5294AC45" w14:textId="77777777" w:rsidR="006A750F" w:rsidRPr="006D6E07" w:rsidRDefault="006A750F" w:rsidP="00474191">
      <w:pPr>
        <w:rPr>
          <w:rFonts w:asciiTheme="minorHAnsi" w:hAnsiTheme="minorHAnsi" w:cs="Arial"/>
          <w:sz w:val="22"/>
          <w:szCs w:val="22"/>
          <w:lang w:val="en-GB"/>
        </w:rPr>
      </w:pPr>
    </w:p>
    <w:p w14:paraId="2CA1B7EC"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53199EF1"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18F364F6"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4C74E9F0" w14:textId="77777777" w:rsidR="00BF6620" w:rsidRPr="002D29D5" w:rsidRDefault="00BF6620" w:rsidP="00474191">
      <w:pPr>
        <w:rPr>
          <w:rFonts w:asciiTheme="minorHAnsi" w:hAnsiTheme="minorHAnsi" w:cs="Arial"/>
          <w:b/>
          <w:sz w:val="22"/>
          <w:szCs w:val="22"/>
          <w:lang w:val="en-GB"/>
        </w:rPr>
      </w:pPr>
    </w:p>
    <w:p w14:paraId="3C3F7B59"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6A6BD308" w14:textId="77777777" w:rsidR="00FD177C" w:rsidRPr="002D29D5" w:rsidRDefault="00FD177C" w:rsidP="00FD177C">
      <w:pPr>
        <w:rPr>
          <w:rFonts w:asciiTheme="minorHAnsi" w:hAnsiTheme="minorHAnsi" w:cs="Arial"/>
          <w:sz w:val="22"/>
          <w:szCs w:val="22"/>
          <w:lang w:val="en-GB"/>
        </w:rPr>
      </w:pPr>
    </w:p>
    <w:p w14:paraId="458BC19B" w14:textId="721F15C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0646AD">
        <w:rPr>
          <w:rFonts w:asciiTheme="minorHAnsi" w:hAnsiTheme="minorHAnsi" w:cs="Arial"/>
          <w:b/>
          <w:sz w:val="22"/>
          <w:szCs w:val="22"/>
          <w:lang w:val="en-GB"/>
        </w:rPr>
        <w:t>Ilkeston Tennis Club</w:t>
      </w:r>
      <w:r w:rsidR="00DC66E4">
        <w:rPr>
          <w:rFonts w:asciiTheme="minorHAnsi" w:hAnsiTheme="minorHAnsi" w:cs="Arial"/>
          <w:sz w:val="22"/>
          <w:szCs w:val="22"/>
          <w:lang w:val="en-GB"/>
        </w:rPr>
        <w:t xml:space="preserve"> 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1D8F4023" w14:textId="77777777" w:rsidR="00D823AE" w:rsidRDefault="00D823AE" w:rsidP="00FD177C">
      <w:pPr>
        <w:rPr>
          <w:rFonts w:asciiTheme="minorHAnsi" w:hAnsiTheme="minorHAnsi" w:cs="Arial"/>
          <w:sz w:val="22"/>
          <w:szCs w:val="22"/>
          <w:lang w:val="en-GB"/>
        </w:rPr>
      </w:pPr>
    </w:p>
    <w:p w14:paraId="1B9C369D"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52E7EBD7"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264F89E6"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5469FA85"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00BCA27A" w14:textId="77777777" w:rsidR="00D823AE" w:rsidRDefault="00D823AE" w:rsidP="00FD177C">
      <w:pPr>
        <w:rPr>
          <w:rFonts w:asciiTheme="minorHAnsi" w:hAnsiTheme="minorHAnsi" w:cs="Arial"/>
          <w:sz w:val="22"/>
          <w:szCs w:val="22"/>
          <w:lang w:val="en-GB"/>
        </w:rPr>
      </w:pPr>
    </w:p>
    <w:p w14:paraId="5FB1D3D9"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44190825" w14:textId="77777777" w:rsidR="004A1349" w:rsidRDefault="004A1349" w:rsidP="00FD177C">
      <w:pPr>
        <w:rPr>
          <w:rFonts w:asciiTheme="minorHAnsi" w:hAnsiTheme="minorHAnsi" w:cs="Arial"/>
          <w:sz w:val="22"/>
          <w:szCs w:val="22"/>
          <w:lang w:val="en-GB"/>
        </w:rPr>
      </w:pPr>
    </w:p>
    <w:p w14:paraId="0F5A505B"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16C96F87" w14:textId="77777777" w:rsidR="00D823AE" w:rsidRDefault="00D823AE" w:rsidP="00FD177C">
      <w:pPr>
        <w:rPr>
          <w:rFonts w:asciiTheme="minorHAnsi" w:hAnsiTheme="minorHAnsi" w:cs="Arial"/>
          <w:sz w:val="22"/>
          <w:szCs w:val="22"/>
          <w:lang w:val="en-GB"/>
        </w:rPr>
      </w:pPr>
    </w:p>
    <w:p w14:paraId="48C857EC"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48E1D652" w14:textId="77777777" w:rsidR="000F5DB7" w:rsidRPr="000F5DB7" w:rsidRDefault="000F5DB7" w:rsidP="000F5DB7">
      <w:pPr>
        <w:rPr>
          <w:rFonts w:asciiTheme="minorHAnsi" w:hAnsiTheme="minorHAnsi" w:cs="Arial"/>
          <w:b/>
          <w:sz w:val="22"/>
          <w:szCs w:val="22"/>
        </w:rPr>
      </w:pPr>
    </w:p>
    <w:p w14:paraId="1AE7DC9C"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4C0717D3" w14:textId="77777777" w:rsidR="00FD177C" w:rsidRPr="002D29D5" w:rsidRDefault="00FD177C" w:rsidP="00FD177C">
      <w:pPr>
        <w:rPr>
          <w:rFonts w:asciiTheme="minorHAnsi" w:hAnsiTheme="minorHAnsi" w:cs="Arial"/>
          <w:sz w:val="22"/>
          <w:szCs w:val="22"/>
          <w:lang w:val="en-GB"/>
        </w:rPr>
      </w:pPr>
    </w:p>
    <w:p w14:paraId="4729DA9C"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2BB46E29" w14:textId="77777777" w:rsidR="00FD177C" w:rsidRPr="002D29D5" w:rsidRDefault="00FD177C" w:rsidP="00FD177C">
      <w:pPr>
        <w:rPr>
          <w:rFonts w:asciiTheme="minorHAnsi" w:hAnsiTheme="minorHAnsi" w:cs="Arial"/>
          <w:b/>
          <w:sz w:val="22"/>
          <w:szCs w:val="22"/>
          <w:lang w:val="en" w:eastAsia="en-GB"/>
        </w:rPr>
      </w:pPr>
    </w:p>
    <w:p w14:paraId="43F2EC6B"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59649053" w14:textId="77777777" w:rsidR="001F4650" w:rsidRDefault="001F4650" w:rsidP="00FD177C">
      <w:pPr>
        <w:rPr>
          <w:rFonts w:ascii="Calibri" w:hAnsi="Calibri" w:cs="Arial"/>
          <w:b/>
          <w:sz w:val="22"/>
          <w:szCs w:val="22"/>
          <w:lang w:val="en" w:eastAsia="en-GB"/>
        </w:rPr>
      </w:pPr>
    </w:p>
    <w:p w14:paraId="020196A0"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11FC1CC5" w14:textId="77777777" w:rsidR="00FD177C" w:rsidRPr="002D29D5" w:rsidRDefault="00FD177C" w:rsidP="00FD177C">
      <w:pPr>
        <w:rPr>
          <w:rFonts w:asciiTheme="minorHAnsi" w:hAnsiTheme="minorHAnsi" w:cs="Arial"/>
          <w:b/>
          <w:sz w:val="22"/>
          <w:szCs w:val="22"/>
          <w:lang w:val="en-GB"/>
        </w:rPr>
      </w:pPr>
    </w:p>
    <w:p w14:paraId="0FE85E3B"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6073AB70" w14:textId="77777777" w:rsidR="001F4650" w:rsidRDefault="001F4650" w:rsidP="00FD177C">
      <w:pPr>
        <w:tabs>
          <w:tab w:val="num" w:pos="360"/>
        </w:tabs>
        <w:rPr>
          <w:rFonts w:asciiTheme="minorHAnsi" w:hAnsiTheme="minorHAnsi" w:cs="Arial"/>
          <w:b/>
          <w:sz w:val="22"/>
          <w:szCs w:val="22"/>
        </w:rPr>
      </w:pPr>
    </w:p>
    <w:p w14:paraId="5084D5C2"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14:paraId="130946CD" w14:textId="77777777" w:rsidR="00FD177C" w:rsidRPr="00427B7E" w:rsidRDefault="00FD177C" w:rsidP="00FD177C">
      <w:pPr>
        <w:tabs>
          <w:tab w:val="num" w:pos="360"/>
        </w:tabs>
        <w:rPr>
          <w:rFonts w:asciiTheme="minorHAnsi" w:hAnsiTheme="minorHAnsi" w:cs="Arial"/>
          <w:sz w:val="22"/>
          <w:szCs w:val="22"/>
        </w:rPr>
      </w:pPr>
    </w:p>
    <w:p w14:paraId="30655821" w14:textId="77777777" w:rsidR="000646AD" w:rsidRDefault="00FD177C" w:rsidP="00FD177C">
      <w:pPr>
        <w:rPr>
          <w:rFonts w:asciiTheme="minorHAnsi" w:hAnsiTheme="minorHAnsi" w:cs="Arial"/>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w:t>
      </w:r>
    </w:p>
    <w:p w14:paraId="65EDD959" w14:textId="25CFCFD8" w:rsidR="00FD177C" w:rsidRDefault="000646AD" w:rsidP="00FD177C">
      <w:pPr>
        <w:rPr>
          <w:rFonts w:asciiTheme="minorHAnsi" w:hAnsiTheme="minorHAnsi" w:cs="Arial"/>
          <w:color w:val="000000"/>
          <w:sz w:val="22"/>
          <w:szCs w:val="22"/>
        </w:rPr>
      </w:pPr>
      <w:r>
        <w:rPr>
          <w:rFonts w:asciiTheme="minorHAnsi" w:hAnsiTheme="minorHAnsi" w:cs="Arial"/>
          <w:sz w:val="22"/>
          <w:szCs w:val="22"/>
        </w:rPr>
        <w:t>Ilkeston Tennis Club</w:t>
      </w:r>
      <w:r w:rsidR="000F5DB7">
        <w:rPr>
          <w:rFonts w:asciiTheme="minorHAnsi" w:hAnsiTheme="minorHAnsi" w:cs="Arial"/>
          <w:sz w:val="22"/>
          <w:szCs w:val="22"/>
        </w:rPr>
        <w:t xml:space="preserve"> </w:t>
      </w:r>
      <w:r w:rsidR="00FD177C">
        <w:rPr>
          <w:rFonts w:asciiTheme="minorHAnsi" w:hAnsiTheme="minorHAnsi" w:cs="Arial"/>
          <w:sz w:val="22"/>
          <w:szCs w:val="22"/>
        </w:rPr>
        <w:t>is committed to taking positive</w:t>
      </w:r>
      <w:r w:rsidR="00FD177C"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sidR="00FD177C">
        <w:rPr>
          <w:rFonts w:asciiTheme="minorHAnsi" w:hAnsiTheme="minorHAnsi" w:cs="Arial"/>
          <w:sz w:val="22"/>
          <w:szCs w:val="22"/>
        </w:rPr>
        <w:t xml:space="preserve">We will ensure that we </w:t>
      </w:r>
      <w:r w:rsidR="00FD177C"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00FD177C"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00FD177C" w:rsidRPr="002D29D5">
        <w:rPr>
          <w:rFonts w:asciiTheme="minorHAnsi" w:hAnsiTheme="minorHAnsi" w:cs="Arial"/>
          <w:sz w:val="22"/>
          <w:szCs w:val="22"/>
        </w:rPr>
        <w:t xml:space="preserve">  </w:t>
      </w:r>
    </w:p>
    <w:p w14:paraId="70B811FB" w14:textId="77777777" w:rsidR="00690700" w:rsidRDefault="00690700" w:rsidP="00FD177C">
      <w:pPr>
        <w:rPr>
          <w:rFonts w:asciiTheme="minorHAnsi" w:hAnsiTheme="minorHAnsi" w:cs="Arial"/>
          <w:color w:val="000000"/>
          <w:sz w:val="22"/>
          <w:szCs w:val="22"/>
        </w:rPr>
      </w:pPr>
    </w:p>
    <w:p w14:paraId="6096C48A"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12FED3CD" w14:textId="77777777" w:rsidR="00FD177C" w:rsidRDefault="00FD177C" w:rsidP="00FD177C">
      <w:pPr>
        <w:rPr>
          <w:rFonts w:asciiTheme="minorHAnsi" w:hAnsiTheme="minorHAnsi" w:cs="Arial"/>
          <w:color w:val="000000"/>
          <w:sz w:val="22"/>
          <w:szCs w:val="22"/>
        </w:rPr>
      </w:pPr>
    </w:p>
    <w:p w14:paraId="55102801"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67DB819B" w14:textId="77777777" w:rsidR="00C56F69" w:rsidRPr="002D29D5" w:rsidRDefault="00C56F69" w:rsidP="00474191">
      <w:pPr>
        <w:rPr>
          <w:rFonts w:asciiTheme="minorHAnsi" w:hAnsiTheme="minorHAnsi" w:cs="Arial"/>
          <w:b/>
          <w:sz w:val="22"/>
          <w:szCs w:val="22"/>
        </w:rPr>
      </w:pPr>
    </w:p>
    <w:p w14:paraId="6B080FF1" w14:textId="7607F938" w:rsidR="00C56F69" w:rsidRPr="002D29D5" w:rsidRDefault="000646AD" w:rsidP="00C56F69">
      <w:pPr>
        <w:rPr>
          <w:rFonts w:asciiTheme="minorHAnsi" w:hAnsiTheme="minorHAnsi" w:cs="Arial"/>
          <w:sz w:val="22"/>
          <w:szCs w:val="22"/>
          <w:lang w:val="en-GB"/>
        </w:rPr>
      </w:pPr>
      <w:r>
        <w:rPr>
          <w:rFonts w:asciiTheme="minorHAnsi" w:hAnsiTheme="minorHAnsi" w:cs="Arial"/>
          <w:sz w:val="22"/>
          <w:szCs w:val="22"/>
          <w:lang w:val="en-GB"/>
        </w:rPr>
        <w:t>Ilkeston Tennis Club</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2F587B53" w14:textId="77777777" w:rsidR="00C56F69" w:rsidRPr="002D29D5" w:rsidRDefault="00C56F69" w:rsidP="00C56F69">
      <w:pPr>
        <w:rPr>
          <w:rFonts w:asciiTheme="minorHAnsi" w:hAnsiTheme="minorHAnsi" w:cs="Arial"/>
          <w:sz w:val="22"/>
          <w:szCs w:val="22"/>
          <w:lang w:val="en-GB"/>
        </w:rPr>
      </w:pPr>
    </w:p>
    <w:p w14:paraId="707FF2D8"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7794448C"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0E16A746"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14:paraId="161BD803"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453AABAE"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76D8FBB6" w14:textId="77777777" w:rsidR="00F835B7" w:rsidRPr="002D29D5" w:rsidRDefault="00F835B7" w:rsidP="00C56F69">
      <w:pPr>
        <w:rPr>
          <w:rFonts w:asciiTheme="minorHAnsi" w:hAnsiTheme="minorHAnsi" w:cs="Arial"/>
          <w:sz w:val="22"/>
          <w:szCs w:val="22"/>
          <w:lang w:val="en-GB"/>
        </w:rPr>
      </w:pPr>
    </w:p>
    <w:p w14:paraId="7D3D7C96"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3AE16FEB" w14:textId="77777777" w:rsidR="00C56F69" w:rsidRPr="002D29D5" w:rsidRDefault="00C56F69" w:rsidP="00C56F69">
      <w:pPr>
        <w:rPr>
          <w:rFonts w:asciiTheme="minorHAnsi" w:hAnsiTheme="minorHAnsi" w:cs="Arial"/>
          <w:sz w:val="22"/>
          <w:szCs w:val="22"/>
          <w:lang w:val="en-GB"/>
        </w:rPr>
      </w:pPr>
    </w:p>
    <w:p w14:paraId="758F53B9"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168BD9BE"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0E2D197B"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733733C9"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27CA9763"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221E8410" w14:textId="77777777" w:rsidR="002329AA" w:rsidRPr="00404055" w:rsidRDefault="002329AA" w:rsidP="002329AA">
      <w:pPr>
        <w:rPr>
          <w:rFonts w:asciiTheme="minorHAnsi" w:hAnsiTheme="minorHAnsi" w:cs="Arial"/>
          <w:sz w:val="22"/>
          <w:szCs w:val="22"/>
          <w:highlight w:val="yellow"/>
          <w:lang w:val="en-GB"/>
        </w:rPr>
      </w:pPr>
    </w:p>
    <w:p w14:paraId="07BD1E27"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7D3A6474" w14:textId="77777777" w:rsidR="00AB7EB1" w:rsidRPr="002D29D5" w:rsidRDefault="00AB7EB1" w:rsidP="00474191">
      <w:pPr>
        <w:rPr>
          <w:rFonts w:asciiTheme="minorHAnsi" w:hAnsiTheme="minorHAnsi" w:cs="Arial"/>
          <w:sz w:val="22"/>
          <w:szCs w:val="22"/>
          <w:lang w:val="en-GB"/>
        </w:rPr>
      </w:pPr>
    </w:p>
    <w:p w14:paraId="442CAF60"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0150CBD2"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13A7F7E1"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2DDD3C3F" w14:textId="77777777" w:rsidR="006447F0" w:rsidRPr="002D29D5" w:rsidRDefault="006447F0" w:rsidP="00474191">
      <w:pPr>
        <w:tabs>
          <w:tab w:val="left" w:pos="840"/>
        </w:tabs>
        <w:rPr>
          <w:rFonts w:asciiTheme="minorHAnsi" w:hAnsiTheme="minorHAnsi" w:cs="Arial"/>
          <w:b/>
          <w:sz w:val="22"/>
          <w:szCs w:val="22"/>
          <w:lang w:val="en-GB"/>
        </w:rPr>
      </w:pPr>
    </w:p>
    <w:p w14:paraId="1B5D0322"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5A4E010F" w14:textId="2A7C75C1"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D72C5F">
        <w:rPr>
          <w:rFonts w:asciiTheme="minorHAnsi" w:hAnsiTheme="minorHAnsi" w:cs="Arial"/>
          <w:sz w:val="22"/>
          <w:szCs w:val="22"/>
        </w:rPr>
        <w:t>Secretary (Liam Bates)</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0646AD">
        <w:rPr>
          <w:rFonts w:asciiTheme="minorHAnsi" w:hAnsiTheme="minorHAnsi" w:cs="Arial"/>
          <w:sz w:val="22"/>
          <w:szCs w:val="22"/>
        </w:rPr>
        <w:t>(Eddie Green)</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7D8B8C80"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6D9A102B" w14:textId="588E4551" w:rsidR="007D4A84" w:rsidRPr="00404055" w:rsidRDefault="000646AD"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Ilkeston Tennis</w:t>
      </w:r>
      <w:r w:rsidR="008C42D7">
        <w:rPr>
          <w:rFonts w:asciiTheme="minorHAnsi" w:hAnsiTheme="minorHAnsi" w:cs="Arial"/>
          <w:sz w:val="22"/>
          <w:szCs w:val="22"/>
        </w:rPr>
        <w:t xml:space="preserve"> Club’s Welfare </w:t>
      </w:r>
      <w:r w:rsidR="00952B99">
        <w:rPr>
          <w:rFonts w:asciiTheme="minorHAnsi" w:hAnsiTheme="minorHAnsi" w:cs="Arial"/>
          <w:sz w:val="22"/>
          <w:szCs w:val="22"/>
        </w:rPr>
        <w:t>O</w:t>
      </w:r>
      <w:r w:rsidR="008C42D7">
        <w:rPr>
          <w:rFonts w:asciiTheme="minorHAnsi" w:hAnsiTheme="minorHAnsi" w:cs="Arial"/>
          <w:sz w:val="22"/>
          <w:szCs w:val="22"/>
        </w:rPr>
        <w:t>fficer</w:t>
      </w:r>
      <w:r w:rsidR="00E85A1F">
        <w:rPr>
          <w:rFonts w:asciiTheme="minorHAnsi" w:hAnsiTheme="minorHAnsi" w:cs="Arial"/>
          <w:sz w:val="22"/>
          <w:szCs w:val="22"/>
        </w:rPr>
        <w:t xml:space="preserve"> </w:t>
      </w:r>
      <w:r>
        <w:rPr>
          <w:rFonts w:asciiTheme="minorHAnsi" w:hAnsiTheme="minorHAnsi" w:cs="Arial"/>
          <w:sz w:val="22"/>
          <w:szCs w:val="22"/>
        </w:rPr>
        <w:t>(Eddie Green)</w:t>
      </w:r>
      <w:r w:rsidR="008C42D7">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sidR="008C42D7">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sidR="008C42D7">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w:t>
      </w:r>
      <w:r w:rsidR="007D4A84" w:rsidRPr="00404055">
        <w:rPr>
          <w:rFonts w:asciiTheme="minorHAnsi" w:hAnsiTheme="minorHAnsi" w:cs="Arial"/>
          <w:sz w:val="22"/>
          <w:szCs w:val="22"/>
        </w:rPr>
        <w:lastRenderedPageBreak/>
        <w:t xml:space="preserve">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sidR="008C42D7">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sidR="008C42D7">
        <w:rPr>
          <w:rFonts w:asciiTheme="minorHAnsi" w:hAnsiTheme="minorHAnsi" w:cs="Arial"/>
          <w:sz w:val="22"/>
          <w:szCs w:val="22"/>
        </w:rPr>
        <w:t>.</w:t>
      </w:r>
    </w:p>
    <w:p w14:paraId="4A6B439F"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100E0A4C"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05ADCFCB" w14:textId="005525B0" w:rsidR="006B4880" w:rsidRPr="00404055" w:rsidRDefault="000646AD"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Ilkeston Tennis Club has</w:t>
      </w:r>
      <w:r w:rsidR="008C42D7">
        <w:rPr>
          <w:rFonts w:ascii="Calibri" w:hAnsi="Calibri" w:cs="Arial"/>
          <w:sz w:val="22"/>
          <w:szCs w:val="22"/>
        </w:rPr>
        <w:t xml:space="preserve"> committed to</w:t>
      </w:r>
      <w:r w:rsidR="006B4880" w:rsidRPr="00404055">
        <w:rPr>
          <w:rFonts w:ascii="Calibri" w:hAnsi="Calibri" w:cs="Arial"/>
          <w:sz w:val="22"/>
          <w:szCs w:val="22"/>
        </w:rPr>
        <w:t>:</w:t>
      </w:r>
    </w:p>
    <w:p w14:paraId="78094B7A"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17A17205"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279FF678"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3EBF2C77"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4719A706"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3E296A32" w14:textId="77777777" w:rsidR="009B0BFD" w:rsidRDefault="009B0BFD" w:rsidP="009B0BFD">
      <w:pPr>
        <w:tabs>
          <w:tab w:val="left" w:pos="840"/>
        </w:tabs>
        <w:rPr>
          <w:rFonts w:asciiTheme="minorHAnsi" w:hAnsiTheme="minorHAnsi" w:cs="Arial"/>
          <w:sz w:val="22"/>
          <w:szCs w:val="22"/>
        </w:rPr>
      </w:pPr>
    </w:p>
    <w:p w14:paraId="55DBD1E9"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6D10B800" w14:textId="77777777" w:rsidR="00052DA0" w:rsidRPr="004F329D" w:rsidRDefault="00052DA0" w:rsidP="009B0BFD">
      <w:pPr>
        <w:tabs>
          <w:tab w:val="left" w:pos="840"/>
        </w:tabs>
        <w:rPr>
          <w:rFonts w:asciiTheme="minorHAnsi" w:hAnsiTheme="minorHAnsi" w:cs="Arial"/>
          <w:sz w:val="22"/>
          <w:szCs w:val="22"/>
        </w:rPr>
      </w:pPr>
    </w:p>
    <w:p w14:paraId="356FC878"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1C6A6FCC" w14:textId="77777777" w:rsidR="00052DA0" w:rsidRDefault="00052DA0" w:rsidP="009B0BFD">
      <w:pPr>
        <w:tabs>
          <w:tab w:val="left" w:pos="840"/>
        </w:tabs>
        <w:rPr>
          <w:rFonts w:asciiTheme="minorHAnsi" w:hAnsiTheme="minorHAnsi" w:cs="Arial"/>
          <w:sz w:val="22"/>
          <w:szCs w:val="22"/>
        </w:rPr>
      </w:pPr>
    </w:p>
    <w:p w14:paraId="3A4FB489"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1ECDB3EE" w14:textId="77777777" w:rsidR="00826851" w:rsidRPr="002D29D5" w:rsidRDefault="00826851" w:rsidP="00474191">
      <w:pPr>
        <w:tabs>
          <w:tab w:val="left" w:pos="840"/>
        </w:tabs>
        <w:rPr>
          <w:rFonts w:asciiTheme="minorHAnsi" w:hAnsiTheme="minorHAnsi" w:cs="Arial"/>
          <w:sz w:val="22"/>
          <w:szCs w:val="22"/>
          <w:lang w:val="en-GB"/>
        </w:rPr>
      </w:pPr>
    </w:p>
    <w:p w14:paraId="547C61DD"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42C34229" w14:textId="77777777" w:rsidR="00BC4C4E" w:rsidRDefault="00BC4C4E" w:rsidP="00476DC2">
      <w:pPr>
        <w:jc w:val="center"/>
        <w:rPr>
          <w:rFonts w:asciiTheme="minorHAnsi" w:hAnsiTheme="minorHAnsi" w:cs="Arial"/>
          <w:sz w:val="22"/>
          <w:szCs w:val="22"/>
        </w:rPr>
      </w:pPr>
    </w:p>
    <w:p w14:paraId="57CE07CB"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1256E955" wp14:editId="2B423008">
            <wp:extent cx="5969000" cy="2552700"/>
            <wp:effectExtent l="7620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60DDBFA"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2CBCC882" w14:textId="77777777" w:rsidR="0046762B" w:rsidRPr="0046762B" w:rsidRDefault="0046762B" w:rsidP="0046762B">
      <w:pPr>
        <w:rPr>
          <w:rFonts w:asciiTheme="minorHAnsi" w:hAnsiTheme="minorHAnsi" w:cs="Arial"/>
          <w:sz w:val="22"/>
          <w:szCs w:val="22"/>
        </w:rPr>
      </w:pPr>
    </w:p>
    <w:p w14:paraId="6164F007"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78591D59" w14:textId="77777777" w:rsidR="0046762B" w:rsidRPr="0046762B" w:rsidRDefault="0046762B" w:rsidP="0046762B">
      <w:pPr>
        <w:rPr>
          <w:rFonts w:asciiTheme="minorHAnsi" w:hAnsiTheme="minorHAnsi" w:cs="Arial"/>
          <w:sz w:val="22"/>
          <w:szCs w:val="22"/>
        </w:rPr>
      </w:pPr>
    </w:p>
    <w:p w14:paraId="0DC7D340"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45FFF1BA"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06E93E3F"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3D05A9EA"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1D54443C" w14:textId="77777777" w:rsidR="0046762B" w:rsidRPr="0046762B" w:rsidRDefault="0046762B" w:rsidP="0046762B">
      <w:pPr>
        <w:rPr>
          <w:rFonts w:asciiTheme="minorHAnsi" w:hAnsiTheme="minorHAnsi" w:cs="Arial"/>
          <w:sz w:val="22"/>
          <w:szCs w:val="22"/>
        </w:rPr>
      </w:pPr>
    </w:p>
    <w:p w14:paraId="44CA7D8D"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273F5634" w14:textId="77777777" w:rsidR="0046762B" w:rsidRPr="0046762B" w:rsidRDefault="0046762B" w:rsidP="0046762B">
      <w:pPr>
        <w:rPr>
          <w:rFonts w:asciiTheme="minorHAnsi" w:hAnsiTheme="minorHAnsi" w:cs="Arial"/>
          <w:sz w:val="22"/>
          <w:szCs w:val="22"/>
        </w:rPr>
      </w:pPr>
    </w:p>
    <w:p w14:paraId="43DAC369"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3A8767AA" w14:textId="77777777" w:rsidR="00005C69" w:rsidRPr="002D29D5" w:rsidRDefault="00005C69" w:rsidP="00474191">
      <w:pPr>
        <w:tabs>
          <w:tab w:val="left" w:pos="840"/>
        </w:tabs>
        <w:rPr>
          <w:rFonts w:asciiTheme="minorHAnsi" w:hAnsiTheme="minorHAnsi" w:cs="Arial"/>
          <w:color w:val="FF0000"/>
          <w:sz w:val="22"/>
          <w:szCs w:val="22"/>
          <w:lang w:val="en-GB"/>
        </w:rPr>
      </w:pPr>
    </w:p>
    <w:p w14:paraId="6C1BCC7E" w14:textId="2C579F70" w:rsidR="003E0FDC" w:rsidRPr="00D72C5F" w:rsidRDefault="00286F73" w:rsidP="00B95C7F">
      <w:pPr>
        <w:pStyle w:val="ListParagraph"/>
        <w:numPr>
          <w:ilvl w:val="0"/>
          <w:numId w:val="6"/>
        </w:numPr>
        <w:rPr>
          <w:rFonts w:asciiTheme="minorHAnsi" w:hAnsiTheme="minorHAnsi" w:cs="Arial"/>
          <w:sz w:val="22"/>
          <w:szCs w:val="22"/>
        </w:rPr>
      </w:pPr>
      <w:r w:rsidRPr="00D72C5F">
        <w:rPr>
          <w:rFonts w:asciiTheme="minorHAnsi" w:hAnsiTheme="minorHAnsi" w:cs="Arial"/>
          <w:b/>
          <w:sz w:val="22"/>
          <w:szCs w:val="22"/>
        </w:rPr>
        <w:t>Related policies and guidance</w:t>
      </w:r>
      <w:r w:rsidR="00690700" w:rsidRPr="00D72C5F">
        <w:rPr>
          <w:rFonts w:asciiTheme="minorHAnsi" w:hAnsiTheme="minorHAnsi" w:cs="Arial"/>
          <w:b/>
          <w:color w:val="FF0000"/>
          <w:sz w:val="22"/>
          <w:szCs w:val="22"/>
        </w:rPr>
        <w:t xml:space="preserve"> </w:t>
      </w:r>
      <w:r w:rsidR="00197413" w:rsidRPr="00D72C5F">
        <w:rPr>
          <w:rFonts w:asciiTheme="minorHAnsi" w:hAnsiTheme="minorHAnsi" w:cs="Arial"/>
          <w:b/>
          <w:color w:val="FF0000"/>
          <w:sz w:val="22"/>
          <w:szCs w:val="2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44"/>
      </w:tblGrid>
      <w:tr w:rsidR="00F51A02" w:rsidRPr="007C1741" w14:paraId="58400F99" w14:textId="77777777" w:rsidTr="00404055">
        <w:tc>
          <w:tcPr>
            <w:tcW w:w="2504" w:type="pct"/>
          </w:tcPr>
          <w:p w14:paraId="0180FE48"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tc>
        <w:tc>
          <w:tcPr>
            <w:tcW w:w="2496" w:type="pct"/>
          </w:tcPr>
          <w:p w14:paraId="4CA7B10D"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14:paraId="2685D9B8" w14:textId="77777777" w:rsidTr="00404055">
        <w:tc>
          <w:tcPr>
            <w:tcW w:w="2504" w:type="pct"/>
          </w:tcPr>
          <w:p w14:paraId="2CA337A6"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14:paraId="0C9AB7B2"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14:paraId="3A00AF9A" w14:textId="77777777" w:rsidTr="00404055">
        <w:tc>
          <w:tcPr>
            <w:tcW w:w="2504" w:type="pct"/>
          </w:tcPr>
          <w:p w14:paraId="77FE2834"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14:paraId="6C595437"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14:paraId="0CFB7620" w14:textId="77777777" w:rsidTr="00404055">
        <w:tc>
          <w:tcPr>
            <w:tcW w:w="2504" w:type="pct"/>
          </w:tcPr>
          <w:p w14:paraId="475D76E5" w14:textId="77777777" w:rsidR="00F51A02" w:rsidRPr="007C1741" w:rsidRDefault="00F51A02" w:rsidP="006D75E9">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Transgender Policy</w:t>
            </w:r>
          </w:p>
        </w:tc>
        <w:tc>
          <w:tcPr>
            <w:tcW w:w="2496" w:type="pct"/>
          </w:tcPr>
          <w:p w14:paraId="67A701C3"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14:paraId="56634B6F" w14:textId="77777777" w:rsidTr="00404055">
        <w:tc>
          <w:tcPr>
            <w:tcW w:w="2504" w:type="pct"/>
          </w:tcPr>
          <w:p w14:paraId="25EF6CC3"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14:paraId="6D2C4516"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14:paraId="3A51D7A3" w14:textId="77777777" w:rsidR="00AA6DDB" w:rsidRDefault="00AA6DDB">
      <w:pPr>
        <w:rPr>
          <w:rFonts w:asciiTheme="minorHAnsi" w:hAnsiTheme="minorHAnsi" w:cs="Arial"/>
          <w:sz w:val="22"/>
          <w:szCs w:val="22"/>
          <w:lang w:val="en-GB"/>
        </w:rPr>
      </w:pPr>
    </w:p>
    <w:p w14:paraId="70CA5AC8"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14:paraId="1E09B14E" w14:textId="77777777" w:rsidR="00E54C51" w:rsidRPr="00E54C51" w:rsidRDefault="00E54C51" w:rsidP="00E54C51">
      <w:pPr>
        <w:jc w:val="both"/>
        <w:rPr>
          <w:rStyle w:val="A10"/>
          <w:rFonts w:asciiTheme="minorHAnsi" w:hAnsiTheme="minorHAnsi" w:cs="Arial"/>
          <w:bCs w:val="0"/>
          <w:color w:val="auto"/>
          <w:sz w:val="22"/>
          <w:szCs w:val="32"/>
          <w:lang w:val="en-GB"/>
        </w:rPr>
      </w:pPr>
    </w:p>
    <w:p w14:paraId="74E3C08B"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605E921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2716CD3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30CBFA3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1C4C040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2B4247E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28CDECF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7F09B85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32F0F8C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6184E62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427E234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7C1D6FE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105BDC5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2F200E22"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7BCAE7B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3229697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79C00DC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57DCE4A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503BD8D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5F4B7985"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6D81BFA0"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25A154F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39443FB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0A4E63F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7C5D016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170C632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51449D9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505F970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7E32DA0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7FE479D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7B22373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64B44605" w14:textId="6043405F" w:rsidR="00E54C51" w:rsidRDefault="00E54C51" w:rsidP="000646AD">
      <w:pPr>
        <w:pStyle w:val="ListParagraph"/>
        <w:jc w:val="both"/>
        <w:rPr>
          <w:rFonts w:asciiTheme="minorHAnsi" w:hAnsiTheme="minorHAnsi" w:cs="Arial"/>
          <w:i/>
          <w:sz w:val="22"/>
          <w:szCs w:val="22"/>
        </w:rPr>
      </w:pPr>
    </w:p>
    <w:p w14:paraId="0F096E2E" w14:textId="77D4A33D" w:rsidR="000646AD" w:rsidRDefault="000646AD" w:rsidP="000646AD">
      <w:pPr>
        <w:pStyle w:val="ListParagraph"/>
        <w:jc w:val="both"/>
        <w:rPr>
          <w:rFonts w:asciiTheme="minorHAnsi" w:hAnsiTheme="minorHAnsi" w:cs="Arial"/>
          <w:i/>
          <w:sz w:val="22"/>
          <w:szCs w:val="22"/>
        </w:rPr>
      </w:pPr>
    </w:p>
    <w:p w14:paraId="338754C5" w14:textId="69CBDBE9" w:rsidR="000646AD" w:rsidRDefault="000646AD" w:rsidP="000646AD">
      <w:pPr>
        <w:pStyle w:val="ListParagraph"/>
        <w:jc w:val="both"/>
        <w:rPr>
          <w:rFonts w:asciiTheme="minorHAnsi" w:hAnsiTheme="minorHAnsi" w:cs="Arial"/>
          <w:i/>
          <w:sz w:val="22"/>
          <w:szCs w:val="22"/>
        </w:rPr>
      </w:pPr>
    </w:p>
    <w:p w14:paraId="4CC06B63" w14:textId="77777777" w:rsidR="000646AD" w:rsidRPr="00E54C51" w:rsidRDefault="000646AD" w:rsidP="000646AD">
      <w:pPr>
        <w:pStyle w:val="ListParagraph"/>
        <w:jc w:val="both"/>
        <w:rPr>
          <w:rStyle w:val="A10"/>
          <w:rFonts w:asciiTheme="minorHAnsi" w:hAnsiTheme="minorHAnsi" w:cs="Arial"/>
          <w:bCs w:val="0"/>
          <w:color w:val="auto"/>
          <w:sz w:val="22"/>
          <w:szCs w:val="32"/>
        </w:rPr>
      </w:pPr>
    </w:p>
    <w:p w14:paraId="72EF0781"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lastRenderedPageBreak/>
        <w:t>All adults agree to:</w:t>
      </w:r>
    </w:p>
    <w:p w14:paraId="56FFC9F6"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2DF3C400"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14:paraId="7BB30179"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1D4C781E"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19A8E5CD"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7F84A736"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1F0FB63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38CED9C3"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7284EFFE"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70F7E186"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7093D46D"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72495873"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02D3218D"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78BAD5BE"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32A6CAB8"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43BBC697" w14:textId="77777777" w:rsidR="00AA6DDB" w:rsidRDefault="00AA6DDB" w:rsidP="000F2EBB">
      <w:pPr>
        <w:rPr>
          <w:rFonts w:asciiTheme="minorHAnsi" w:hAnsiTheme="minorHAnsi" w:cs="Arial"/>
          <w:b/>
          <w:sz w:val="22"/>
          <w:szCs w:val="22"/>
          <w:lang w:val="en" w:eastAsia="en-GB"/>
        </w:rPr>
      </w:pPr>
    </w:p>
    <w:p w14:paraId="15BE6F37"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45BD5B16" w14:textId="77777777" w:rsidR="000F2EBB" w:rsidRDefault="000F2EBB" w:rsidP="00DA26A8">
      <w:pPr>
        <w:rPr>
          <w:rFonts w:asciiTheme="minorHAnsi" w:hAnsiTheme="minorHAnsi" w:cs="Arial"/>
          <w:b/>
          <w:sz w:val="22"/>
          <w:szCs w:val="22"/>
          <w:lang w:val="en" w:eastAsia="en-GB"/>
        </w:rPr>
      </w:pPr>
    </w:p>
    <w:p w14:paraId="0C5C271F"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465598B8"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5CD0971F"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494256A7" w14:textId="77777777" w:rsidR="00DA26A8" w:rsidRPr="002D29D5" w:rsidRDefault="00DA26A8" w:rsidP="00DA26A8">
      <w:pPr>
        <w:rPr>
          <w:rFonts w:asciiTheme="minorHAnsi" w:hAnsiTheme="minorHAnsi" w:cs="Arial"/>
          <w:b/>
          <w:sz w:val="22"/>
          <w:szCs w:val="22"/>
          <w:lang w:val="en-GB"/>
        </w:rPr>
      </w:pPr>
    </w:p>
    <w:p w14:paraId="11032F12"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42317651" w14:textId="77777777" w:rsidR="0095781F" w:rsidRDefault="0095781F" w:rsidP="00DA26A8">
      <w:pPr>
        <w:rPr>
          <w:rFonts w:asciiTheme="minorHAnsi" w:hAnsiTheme="minorHAnsi" w:cs="Arial"/>
          <w:b/>
          <w:bCs/>
          <w:sz w:val="22"/>
          <w:szCs w:val="22"/>
          <w:lang w:val="en-GB"/>
        </w:rPr>
      </w:pPr>
    </w:p>
    <w:p w14:paraId="7E94E4C7"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3119A0F4" w14:textId="77777777" w:rsidR="00DA26A8" w:rsidRDefault="00DA26A8" w:rsidP="00DA26A8">
      <w:pPr>
        <w:rPr>
          <w:rFonts w:asciiTheme="minorHAnsi" w:hAnsiTheme="minorHAnsi" w:cs="Arial"/>
          <w:b/>
          <w:bCs/>
          <w:sz w:val="22"/>
          <w:szCs w:val="22"/>
          <w:lang w:val="en-GB"/>
        </w:rPr>
      </w:pPr>
    </w:p>
    <w:p w14:paraId="3F407174"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264D4D8D" w14:textId="77777777" w:rsidR="00DA26A8" w:rsidRPr="002D29D5" w:rsidRDefault="00DA26A8" w:rsidP="00DA26A8">
      <w:pPr>
        <w:rPr>
          <w:rFonts w:asciiTheme="minorHAnsi" w:hAnsiTheme="minorHAnsi" w:cs="Arial"/>
          <w:bCs/>
          <w:sz w:val="22"/>
          <w:szCs w:val="22"/>
          <w:lang w:val="en-GB"/>
        </w:rPr>
      </w:pPr>
    </w:p>
    <w:p w14:paraId="7EA4EEF7"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18706448"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2AC3DD06" w14:textId="77777777" w:rsidR="00DA26A8" w:rsidRPr="002D29D5" w:rsidRDefault="00DA26A8" w:rsidP="00DA26A8">
      <w:pPr>
        <w:rPr>
          <w:rFonts w:asciiTheme="minorHAnsi" w:hAnsiTheme="minorHAnsi" w:cs="Arial"/>
          <w:b/>
          <w:sz w:val="22"/>
          <w:szCs w:val="22"/>
          <w:lang w:val="en-GB"/>
        </w:rPr>
      </w:pPr>
    </w:p>
    <w:p w14:paraId="3702F1DE" w14:textId="77777777" w:rsidR="00DA26A8" w:rsidRDefault="00DA26A8" w:rsidP="00DA26A8">
      <w:pPr>
        <w:rPr>
          <w:rFonts w:asciiTheme="minorHAnsi" w:hAnsiTheme="minorHAnsi" w:cs="Arial"/>
          <w:b/>
          <w:sz w:val="22"/>
          <w:szCs w:val="22"/>
          <w:lang w:val="en-GB"/>
        </w:rPr>
      </w:pPr>
    </w:p>
    <w:p w14:paraId="07059E74"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7D9C8295" w14:textId="77777777" w:rsidR="00DA26A8" w:rsidRDefault="00DA26A8" w:rsidP="00DA26A8">
      <w:pPr>
        <w:rPr>
          <w:rFonts w:asciiTheme="minorHAnsi" w:hAnsiTheme="minorHAnsi" w:cs="Arial"/>
          <w:b/>
          <w:bCs/>
          <w:sz w:val="22"/>
          <w:szCs w:val="22"/>
          <w:lang w:val="en-GB"/>
        </w:rPr>
      </w:pPr>
    </w:p>
    <w:p w14:paraId="784A820A"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5D6BB9D5" w14:textId="77777777" w:rsidR="00DA26A8" w:rsidRPr="002D29D5" w:rsidRDefault="00DA26A8" w:rsidP="00DA26A8">
      <w:pPr>
        <w:rPr>
          <w:rFonts w:asciiTheme="minorHAnsi" w:hAnsiTheme="minorHAnsi" w:cs="Arial"/>
          <w:b/>
          <w:bCs/>
          <w:sz w:val="22"/>
          <w:szCs w:val="22"/>
          <w:lang w:val="en-GB"/>
        </w:rPr>
      </w:pPr>
    </w:p>
    <w:p w14:paraId="08C5187E"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0C4953C5" w14:textId="77777777" w:rsidR="00DA26A8" w:rsidRDefault="00DA26A8" w:rsidP="00DA26A8">
      <w:pPr>
        <w:rPr>
          <w:rFonts w:asciiTheme="minorHAnsi" w:hAnsiTheme="minorHAnsi" w:cs="Arial"/>
          <w:b/>
          <w:sz w:val="22"/>
          <w:szCs w:val="22"/>
          <w:lang w:val="en-GB"/>
        </w:rPr>
      </w:pPr>
    </w:p>
    <w:p w14:paraId="741F76AB"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 individuals</w:t>
      </w:r>
      <w:r w:rsidRPr="00350859">
        <w:rPr>
          <w:rFonts w:asciiTheme="minorHAnsi" w:hAnsiTheme="minorHAnsi" w:cs="Arial"/>
          <w:b/>
          <w:sz w:val="22"/>
          <w:szCs w:val="22"/>
          <w:lang w:val="en-GB"/>
        </w:rPr>
        <w:t>.</w:t>
      </w:r>
    </w:p>
    <w:p w14:paraId="7618709C" w14:textId="77777777" w:rsidR="00DA26A8" w:rsidRPr="00BB19A7" w:rsidRDefault="00DA26A8" w:rsidP="00DA26A8">
      <w:pPr>
        <w:rPr>
          <w:rFonts w:asciiTheme="minorHAnsi" w:hAnsiTheme="minorHAnsi" w:cs="Arial"/>
          <w:b/>
          <w:sz w:val="22"/>
          <w:szCs w:val="22"/>
          <w:lang w:val="en-GB"/>
        </w:rPr>
      </w:pPr>
    </w:p>
    <w:p w14:paraId="22A4FF7E"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treating everyone with fairness and respect and recognising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2EEA5120" w14:textId="77777777" w:rsidR="00DA26A8" w:rsidRPr="002D29D5" w:rsidRDefault="00DA26A8" w:rsidP="00DA26A8">
      <w:pPr>
        <w:rPr>
          <w:rFonts w:asciiTheme="minorHAnsi" w:hAnsiTheme="minorHAnsi" w:cs="Arial"/>
          <w:sz w:val="22"/>
          <w:szCs w:val="22"/>
          <w:lang w:val="en-GB"/>
        </w:rPr>
      </w:pPr>
    </w:p>
    <w:p w14:paraId="6E3715FC"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52534AD3" w14:textId="77777777" w:rsidR="00DA26A8" w:rsidRPr="002D29D5" w:rsidRDefault="00DA26A8" w:rsidP="00DA26A8">
      <w:pPr>
        <w:rPr>
          <w:rFonts w:asciiTheme="minorHAnsi" w:hAnsiTheme="minorHAnsi" w:cs="Arial"/>
          <w:sz w:val="22"/>
          <w:szCs w:val="22"/>
          <w:lang w:val="en-GB"/>
        </w:rPr>
      </w:pPr>
    </w:p>
    <w:p w14:paraId="606A583E"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6AC82953" w14:textId="77777777" w:rsidR="0095781F" w:rsidRDefault="0095781F" w:rsidP="00DA26A8">
      <w:pPr>
        <w:rPr>
          <w:rStyle w:val="Strong"/>
          <w:rFonts w:asciiTheme="minorHAnsi" w:hAnsiTheme="minorHAnsi" w:cs="Arial"/>
          <w:sz w:val="22"/>
          <w:szCs w:val="22"/>
          <w:lang w:val="en"/>
        </w:rPr>
      </w:pPr>
    </w:p>
    <w:p w14:paraId="1BE63716"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69DC0A0D" w14:textId="77777777" w:rsidR="00DA26A8" w:rsidRPr="002D29D5" w:rsidRDefault="00DA26A8" w:rsidP="00DA26A8">
      <w:pPr>
        <w:rPr>
          <w:rFonts w:asciiTheme="minorHAnsi" w:hAnsiTheme="minorHAnsi" w:cs="Arial"/>
          <w:sz w:val="22"/>
          <w:szCs w:val="22"/>
          <w:lang w:val="en"/>
        </w:rPr>
      </w:pPr>
    </w:p>
    <w:p w14:paraId="397A845E"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2C34D65A" w14:textId="77777777" w:rsidR="00DA26A8" w:rsidRPr="002D29D5" w:rsidRDefault="00DA26A8" w:rsidP="00DA26A8">
      <w:pPr>
        <w:rPr>
          <w:rFonts w:asciiTheme="minorHAnsi" w:hAnsiTheme="minorHAnsi" w:cs="Arial"/>
          <w:sz w:val="22"/>
          <w:szCs w:val="22"/>
          <w:lang w:val="en-GB"/>
        </w:rPr>
      </w:pPr>
    </w:p>
    <w:p w14:paraId="02100A20"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3C610F6B" w14:textId="77777777" w:rsidR="00DA26A8" w:rsidRPr="002D29D5" w:rsidRDefault="00DA26A8" w:rsidP="00DA26A8">
      <w:pPr>
        <w:rPr>
          <w:rFonts w:asciiTheme="minorHAnsi" w:hAnsiTheme="minorHAnsi" w:cs="Arial"/>
          <w:b/>
          <w:bCs/>
          <w:sz w:val="22"/>
          <w:szCs w:val="22"/>
          <w:lang w:val="en-GB"/>
        </w:rPr>
      </w:pPr>
    </w:p>
    <w:p w14:paraId="729952A3"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7F043517" w14:textId="77777777" w:rsidR="00DA26A8" w:rsidRDefault="00DA26A8" w:rsidP="00DA26A8">
      <w:pPr>
        <w:rPr>
          <w:rFonts w:asciiTheme="minorHAnsi" w:hAnsiTheme="minorHAnsi" w:cs="Arial"/>
          <w:b/>
          <w:sz w:val="22"/>
          <w:szCs w:val="22"/>
          <w:lang w:val="en-GB"/>
        </w:rPr>
      </w:pPr>
    </w:p>
    <w:p w14:paraId="5F75B98D"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425C3C5A" w14:textId="77777777" w:rsidR="0095781F" w:rsidRDefault="0095781F" w:rsidP="00014304">
      <w:pPr>
        <w:rPr>
          <w:rFonts w:ascii="Calibri" w:hAnsi="Calibri" w:cs="Arial"/>
          <w:b/>
          <w:sz w:val="22"/>
          <w:szCs w:val="22"/>
          <w:lang w:val="en" w:eastAsia="en-GB"/>
        </w:rPr>
      </w:pPr>
    </w:p>
    <w:p w14:paraId="67841246"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14:paraId="50BDEF81" w14:textId="77777777" w:rsidR="00014304" w:rsidRPr="00286F73" w:rsidRDefault="00014304" w:rsidP="00014304">
      <w:pPr>
        <w:rPr>
          <w:rFonts w:ascii="Calibri" w:hAnsi="Calibri" w:cs="Arial"/>
          <w:sz w:val="22"/>
          <w:szCs w:val="22"/>
          <w:lang w:val="en" w:eastAsia="en-GB"/>
        </w:rPr>
      </w:pPr>
    </w:p>
    <w:p w14:paraId="219A0D2B"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2DF7F447" w14:textId="77777777" w:rsidR="00014304" w:rsidRDefault="00014304" w:rsidP="00014304">
      <w:pPr>
        <w:rPr>
          <w:rFonts w:ascii="Calibri" w:hAnsi="Calibri" w:cs="Arial"/>
          <w:sz w:val="22"/>
          <w:szCs w:val="22"/>
          <w:lang w:val="en" w:eastAsia="en-GB"/>
        </w:rPr>
      </w:pPr>
    </w:p>
    <w:p w14:paraId="1C63107A"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has the opportunity to achieve  their potential.</w:t>
      </w:r>
    </w:p>
    <w:p w14:paraId="1F7BD324" w14:textId="77777777" w:rsidR="00DA26A8" w:rsidRDefault="00DA26A8" w:rsidP="00DA26A8">
      <w:pPr>
        <w:rPr>
          <w:rFonts w:asciiTheme="minorHAnsi" w:hAnsiTheme="minorHAnsi" w:cs="Arial"/>
          <w:b/>
          <w:bCs/>
          <w:sz w:val="22"/>
          <w:szCs w:val="22"/>
          <w:lang w:val="en-GB"/>
        </w:rPr>
      </w:pPr>
    </w:p>
    <w:p w14:paraId="6C5FD61B"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33A5B555" w14:textId="77777777" w:rsidR="00DA26A8" w:rsidRPr="002D29D5" w:rsidRDefault="00DA26A8" w:rsidP="00DA26A8">
      <w:pPr>
        <w:rPr>
          <w:rFonts w:asciiTheme="minorHAnsi" w:hAnsiTheme="minorHAnsi" w:cs="Arial"/>
          <w:sz w:val="22"/>
          <w:szCs w:val="22"/>
          <w:lang w:val="en" w:eastAsia="en-GB"/>
        </w:rPr>
      </w:pPr>
    </w:p>
    <w:p w14:paraId="772A4A87"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2C7A1647" w14:textId="77777777" w:rsidR="0041456A" w:rsidRDefault="0041456A" w:rsidP="00DA26A8">
      <w:pPr>
        <w:rPr>
          <w:rFonts w:asciiTheme="minorHAnsi" w:hAnsiTheme="minorHAnsi" w:cs="Arial"/>
          <w:sz w:val="22"/>
          <w:szCs w:val="22"/>
          <w:lang w:val="en" w:eastAsia="en-GB"/>
        </w:rPr>
      </w:pPr>
    </w:p>
    <w:p w14:paraId="62B577BC"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66BF4E3F" w14:textId="77777777" w:rsidR="0041456A" w:rsidRDefault="0041456A" w:rsidP="00DA26A8">
      <w:pPr>
        <w:rPr>
          <w:rFonts w:asciiTheme="minorHAnsi" w:hAnsiTheme="minorHAnsi" w:cs="Arial"/>
          <w:sz w:val="22"/>
          <w:szCs w:val="22"/>
          <w:lang w:val="en" w:eastAsia="en-GB"/>
        </w:rPr>
      </w:pPr>
    </w:p>
    <w:p w14:paraId="5429B6C1"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5F54EB38" w14:textId="77777777" w:rsidR="00E05358" w:rsidRDefault="00E05358" w:rsidP="0095781F">
      <w:pPr>
        <w:rPr>
          <w:rFonts w:asciiTheme="minorHAnsi" w:hAnsiTheme="minorHAnsi" w:cs="Arial"/>
          <w:sz w:val="22"/>
          <w:szCs w:val="22"/>
          <w:lang w:val="en" w:eastAsia="en-GB"/>
        </w:rPr>
      </w:pPr>
    </w:p>
    <w:p w14:paraId="57D0ACC4"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7B80CAD8"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16F2B309" w14:textId="77777777" w:rsidR="0095781F" w:rsidRPr="002D29D5" w:rsidRDefault="0095781F" w:rsidP="0095781F">
      <w:pPr>
        <w:rPr>
          <w:rFonts w:asciiTheme="minorHAnsi" w:hAnsiTheme="minorHAnsi" w:cs="Arial"/>
          <w:sz w:val="22"/>
          <w:szCs w:val="22"/>
          <w:lang w:val="en-GB"/>
        </w:rPr>
      </w:pPr>
    </w:p>
    <w:p w14:paraId="77CB2FC4"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48F467B1" w14:textId="77777777" w:rsidR="00B0379B" w:rsidRDefault="00B0379B" w:rsidP="0095781F">
      <w:pPr>
        <w:rPr>
          <w:rFonts w:asciiTheme="minorHAnsi" w:hAnsiTheme="minorHAnsi" w:cs="Arial"/>
          <w:b/>
          <w:sz w:val="22"/>
          <w:szCs w:val="22"/>
          <w:lang w:val="en" w:eastAsia="en-GB"/>
        </w:rPr>
      </w:pPr>
    </w:p>
    <w:p w14:paraId="633AC3F2"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607C022A" w14:textId="77777777" w:rsidR="0095781F" w:rsidRDefault="0095781F" w:rsidP="00DA26A8">
      <w:pPr>
        <w:rPr>
          <w:rFonts w:asciiTheme="minorHAnsi" w:hAnsiTheme="minorHAnsi" w:cs="Arial"/>
          <w:b/>
          <w:bCs/>
          <w:sz w:val="22"/>
          <w:szCs w:val="22"/>
          <w:lang w:eastAsia="en-GB"/>
        </w:rPr>
      </w:pPr>
    </w:p>
    <w:p w14:paraId="106BEAA4"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17153FD7" w14:textId="77777777" w:rsidR="00B0379B" w:rsidRDefault="00B0379B" w:rsidP="0095781F">
      <w:pPr>
        <w:rPr>
          <w:rFonts w:asciiTheme="minorHAnsi" w:hAnsiTheme="minorHAnsi" w:cs="Arial"/>
          <w:sz w:val="22"/>
          <w:szCs w:val="22"/>
          <w:lang w:val="en" w:eastAsia="en-GB"/>
        </w:rPr>
      </w:pPr>
    </w:p>
    <w:p w14:paraId="253EDFAB"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78175E50" w14:textId="77777777" w:rsidR="0095781F" w:rsidRPr="002D29D5" w:rsidRDefault="0095781F" w:rsidP="0095781F">
      <w:pPr>
        <w:rPr>
          <w:rFonts w:asciiTheme="minorHAnsi" w:hAnsiTheme="minorHAnsi" w:cs="Arial"/>
          <w:sz w:val="22"/>
          <w:szCs w:val="22"/>
          <w:lang w:val="en-GB"/>
        </w:rPr>
      </w:pPr>
    </w:p>
    <w:p w14:paraId="338A0FEF"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52921AD1" w14:textId="77777777" w:rsidR="0095781F" w:rsidRPr="002D29D5" w:rsidRDefault="0095781F" w:rsidP="0095781F">
      <w:pPr>
        <w:rPr>
          <w:rFonts w:asciiTheme="minorHAnsi" w:hAnsiTheme="minorHAnsi" w:cs="Arial"/>
          <w:sz w:val="22"/>
          <w:szCs w:val="22"/>
          <w:lang w:val="en-GB"/>
        </w:rPr>
      </w:pPr>
    </w:p>
    <w:p w14:paraId="4A1B9958"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1FD6A182" w14:textId="77777777" w:rsidR="0095781F" w:rsidRPr="002D29D5" w:rsidRDefault="0095781F" w:rsidP="0095781F">
      <w:pPr>
        <w:rPr>
          <w:rFonts w:asciiTheme="minorHAnsi" w:hAnsiTheme="minorHAnsi" w:cs="Arial"/>
          <w:sz w:val="22"/>
          <w:szCs w:val="22"/>
          <w:lang w:val="en-GB"/>
        </w:rPr>
      </w:pPr>
    </w:p>
    <w:p w14:paraId="07FEB838"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51EDF477" w14:textId="77777777" w:rsidR="0095781F" w:rsidRPr="002D29D5" w:rsidRDefault="0095781F" w:rsidP="0095781F">
      <w:pPr>
        <w:rPr>
          <w:rFonts w:asciiTheme="minorHAnsi" w:hAnsiTheme="minorHAnsi" w:cs="Arial"/>
          <w:sz w:val="22"/>
          <w:szCs w:val="22"/>
          <w:lang w:val="en-GB"/>
        </w:rPr>
      </w:pPr>
    </w:p>
    <w:p w14:paraId="30C854F2"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106F87FB" w14:textId="77777777" w:rsidR="0095781F" w:rsidRPr="002D29D5" w:rsidRDefault="0095781F" w:rsidP="0095781F">
      <w:pPr>
        <w:rPr>
          <w:rFonts w:asciiTheme="minorHAnsi" w:hAnsiTheme="minorHAnsi" w:cs="Arial"/>
          <w:sz w:val="22"/>
          <w:szCs w:val="22"/>
          <w:lang w:val="en-GB"/>
        </w:rPr>
      </w:pPr>
    </w:p>
    <w:p w14:paraId="21C06746"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6D46C005" w14:textId="77777777" w:rsidR="0041456A" w:rsidRDefault="0041456A" w:rsidP="00DA26A8">
      <w:pPr>
        <w:rPr>
          <w:rFonts w:asciiTheme="minorHAnsi" w:hAnsiTheme="minorHAnsi" w:cs="Arial"/>
          <w:b/>
          <w:sz w:val="22"/>
          <w:szCs w:val="22"/>
          <w:lang w:eastAsia="en-GB"/>
        </w:rPr>
      </w:pPr>
    </w:p>
    <w:p w14:paraId="4E41669E"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3E0A9D55" w14:textId="77777777" w:rsidR="0095781F" w:rsidRDefault="0095781F" w:rsidP="00DA26A8">
      <w:pPr>
        <w:rPr>
          <w:rFonts w:asciiTheme="minorHAnsi" w:hAnsiTheme="minorHAnsi" w:cs="Arial"/>
          <w:b/>
          <w:sz w:val="22"/>
          <w:szCs w:val="22"/>
          <w:lang w:val="en" w:eastAsia="en-GB"/>
        </w:rPr>
      </w:pPr>
    </w:p>
    <w:p w14:paraId="384288DE"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6B896EF5" w14:textId="77777777" w:rsidR="00DA26A8" w:rsidRPr="002D29D5" w:rsidRDefault="00DA26A8" w:rsidP="00DA26A8">
      <w:pPr>
        <w:rPr>
          <w:rFonts w:asciiTheme="minorHAnsi" w:hAnsiTheme="minorHAnsi" w:cs="Arial"/>
          <w:sz w:val="22"/>
          <w:szCs w:val="22"/>
          <w:lang w:val="en-GB"/>
        </w:rPr>
      </w:pPr>
    </w:p>
    <w:p w14:paraId="1272A3B2"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52FE8C59"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0A5B2460" w14:textId="77777777" w:rsidR="00DA26A8" w:rsidRPr="002D29D5" w:rsidRDefault="00DA26A8" w:rsidP="00DA26A8">
      <w:pPr>
        <w:rPr>
          <w:rFonts w:asciiTheme="minorHAnsi" w:hAnsiTheme="minorHAnsi" w:cs="Arial"/>
          <w:sz w:val="22"/>
          <w:szCs w:val="22"/>
          <w:lang w:val="en-GB"/>
        </w:rPr>
      </w:pPr>
    </w:p>
    <w:p w14:paraId="658F3BE2"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42F9321B"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6D0409F3"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4EFEAECE" w14:textId="77777777" w:rsidR="001B74EC" w:rsidRDefault="001B74EC">
      <w:pPr>
        <w:rPr>
          <w:rFonts w:asciiTheme="minorHAnsi" w:hAnsiTheme="minorHAnsi" w:cs="Arial"/>
          <w:b/>
          <w:sz w:val="22"/>
          <w:szCs w:val="22"/>
        </w:rPr>
      </w:pPr>
    </w:p>
    <w:p w14:paraId="1B84F4AC"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56AB2A2C" w14:textId="77777777" w:rsidR="002B7554" w:rsidRDefault="002B7554" w:rsidP="002B7554">
      <w:pPr>
        <w:rPr>
          <w:rFonts w:asciiTheme="minorHAnsi" w:hAnsiTheme="minorHAnsi" w:cs="Arial"/>
          <w:bCs/>
          <w:sz w:val="22"/>
          <w:szCs w:val="22"/>
          <w:lang w:val="en-GB"/>
        </w:rPr>
      </w:pPr>
    </w:p>
    <w:p w14:paraId="7F7DC2F5"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16AD1D34" w14:textId="77777777" w:rsidR="002B7554" w:rsidRDefault="002B7554" w:rsidP="002B7554">
      <w:pPr>
        <w:rPr>
          <w:rFonts w:asciiTheme="minorHAnsi" w:hAnsiTheme="minorHAnsi" w:cs="Arial"/>
          <w:bCs/>
          <w:sz w:val="22"/>
          <w:szCs w:val="22"/>
          <w:lang w:val="en-GB"/>
        </w:rPr>
      </w:pPr>
    </w:p>
    <w:p w14:paraId="0A461276"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3D3EDFA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3017F37F"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21E52E73"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7033A70C"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089C7D2F"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767B376F"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700A827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5E3C648D"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4DEA5428"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31AB61B1"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16CF9101" w14:textId="77777777" w:rsidR="002B7554" w:rsidRDefault="002B7554" w:rsidP="002B7554">
      <w:pPr>
        <w:rPr>
          <w:rFonts w:asciiTheme="minorHAnsi" w:hAnsiTheme="minorHAnsi" w:cs="Arial"/>
          <w:bCs/>
          <w:sz w:val="22"/>
          <w:szCs w:val="22"/>
          <w:lang w:val="en-GB"/>
        </w:rPr>
      </w:pPr>
    </w:p>
    <w:p w14:paraId="33FA94B4"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2F277FD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1960AC75"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2CC4CB50"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14B8887E"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065907BE"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208ABFD2"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05ED8CD2" w14:textId="77777777" w:rsidR="002B7554" w:rsidRDefault="002B7554" w:rsidP="002B7554">
      <w:pPr>
        <w:rPr>
          <w:rFonts w:asciiTheme="minorHAnsi" w:hAnsiTheme="minorHAnsi" w:cs="Arial"/>
          <w:bCs/>
          <w:sz w:val="22"/>
          <w:szCs w:val="22"/>
          <w:lang w:val="en-GB"/>
        </w:rPr>
      </w:pPr>
    </w:p>
    <w:p w14:paraId="05400A3E"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04D5979C"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11260029"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79E0D91E" w14:textId="77777777" w:rsidR="002B7554" w:rsidRDefault="002B7554" w:rsidP="002B7554">
      <w:pPr>
        <w:rPr>
          <w:rFonts w:asciiTheme="minorHAnsi" w:hAnsiTheme="minorHAnsi" w:cs="Arial"/>
          <w:bCs/>
          <w:sz w:val="22"/>
          <w:szCs w:val="22"/>
          <w:lang w:val="en-GB"/>
        </w:rPr>
      </w:pPr>
    </w:p>
    <w:p w14:paraId="41F644E4"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1FBDB55F"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4BE3CF7C"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7D9B96F1"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54FAA604" w14:textId="13FFCE32" w:rsidR="002B7554" w:rsidRDefault="002B7554" w:rsidP="00E076E5">
      <w:pPr>
        <w:numPr>
          <w:ilvl w:val="0"/>
          <w:numId w:val="17"/>
        </w:numPr>
        <w:rPr>
          <w:rFonts w:asciiTheme="minorHAnsi" w:hAnsiTheme="minorHAnsi" w:cs="Arial"/>
          <w:bCs/>
          <w:sz w:val="22"/>
          <w:szCs w:val="22"/>
          <w:lang w:val="en-GB"/>
        </w:rPr>
      </w:pPr>
      <w:r w:rsidRPr="00D72C5F">
        <w:rPr>
          <w:rFonts w:asciiTheme="minorHAnsi" w:hAnsiTheme="minorHAnsi" w:cs="Arial"/>
          <w:bCs/>
          <w:sz w:val="22"/>
          <w:szCs w:val="22"/>
          <w:lang w:val="en-GB"/>
        </w:rPr>
        <w:t>victimisation - treating someone unfairly because they’ve complained about discrimination or harassment</w:t>
      </w:r>
      <w:r w:rsidR="00CA3575" w:rsidRPr="00D72C5F">
        <w:rPr>
          <w:rFonts w:asciiTheme="minorHAnsi" w:hAnsiTheme="minorHAnsi" w:cs="Arial"/>
          <w:bCs/>
          <w:sz w:val="22"/>
          <w:szCs w:val="22"/>
          <w:lang w:val="en-GB"/>
        </w:rPr>
        <w:t>.</w:t>
      </w:r>
    </w:p>
    <w:p w14:paraId="57960BAF" w14:textId="324B2944" w:rsidR="006571E7" w:rsidRDefault="006571E7" w:rsidP="006571E7">
      <w:pPr>
        <w:rPr>
          <w:rFonts w:asciiTheme="minorHAnsi" w:hAnsiTheme="minorHAnsi" w:cs="Arial"/>
          <w:bCs/>
          <w:sz w:val="22"/>
          <w:szCs w:val="22"/>
          <w:lang w:val="en-GB"/>
        </w:rPr>
      </w:pPr>
    </w:p>
    <w:p w14:paraId="087AF6BD" w14:textId="241A4158" w:rsidR="006571E7" w:rsidRPr="002B7554" w:rsidRDefault="006571E7" w:rsidP="006571E7">
      <w:pPr>
        <w:rPr>
          <w:rFonts w:asciiTheme="minorHAnsi" w:hAnsiTheme="minorHAnsi" w:cs="Arial"/>
          <w:bCs/>
          <w:sz w:val="22"/>
          <w:szCs w:val="22"/>
          <w:lang w:val="en-GB"/>
        </w:rPr>
      </w:pPr>
      <w:r>
        <w:rPr>
          <w:rFonts w:asciiTheme="minorHAnsi" w:hAnsiTheme="minorHAnsi" w:cs="Arial"/>
          <w:bCs/>
          <w:sz w:val="22"/>
          <w:szCs w:val="22"/>
          <w:lang w:val="en-GB"/>
        </w:rPr>
        <w:t>June 2020</w:t>
      </w:r>
    </w:p>
    <w:sectPr w:rsidR="006571E7" w:rsidRPr="002B7554" w:rsidSect="006C693C">
      <w:footerReference w:type="default" r:id="rId21"/>
      <w:footerReference w:type="first" r:id="rId22"/>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466B3" w14:textId="77777777" w:rsidR="000748C0" w:rsidRDefault="000748C0">
      <w:r>
        <w:separator/>
      </w:r>
    </w:p>
  </w:endnote>
  <w:endnote w:type="continuationSeparator" w:id="0">
    <w:p w14:paraId="3F5B5D8C" w14:textId="77777777" w:rsidR="000748C0" w:rsidRDefault="0007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panose1 w:val="00000000000000000000"/>
    <w:charset w:val="00"/>
    <w:family w:val="swiss"/>
    <w:notTrueType/>
    <w:pitch w:val="default"/>
    <w:sig w:usb0="00000003" w:usb1="00000000" w:usb2="00000000" w:usb3="00000000" w:csb0="00000001" w:csb1="00000000"/>
  </w:font>
  <w:font w:name="Helvetica Neue">
    <w:altName w:val="Malgun Gothic"/>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1439" w14:textId="51637186" w:rsidR="003B5D08" w:rsidRPr="00C94DF5" w:rsidRDefault="003B5D08">
    <w:pPr>
      <w:pStyle w:val="Footer"/>
      <w:rPr>
        <w:rFonts w:asciiTheme="minorHAnsi" w:hAnsiTheme="minorHAnsi"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5E601" w14:textId="1D7646B0" w:rsidR="003B5D08" w:rsidRDefault="003B5D08" w:rsidP="001B04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C85D6" w14:textId="77777777" w:rsidR="000748C0" w:rsidRDefault="000748C0">
      <w:r>
        <w:separator/>
      </w:r>
    </w:p>
  </w:footnote>
  <w:footnote w:type="continuationSeparator" w:id="0">
    <w:p w14:paraId="35BBF7F4" w14:textId="77777777" w:rsidR="000748C0" w:rsidRDefault="000748C0">
      <w:r>
        <w:continuationSeparator/>
      </w:r>
    </w:p>
  </w:footnote>
  <w:footnote w:id="1">
    <w:p w14:paraId="52F11A66" w14:textId="677625BA" w:rsidR="003B5D08" w:rsidRDefault="003B5D0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6AD"/>
    <w:rsid w:val="00064704"/>
    <w:rsid w:val="000673CE"/>
    <w:rsid w:val="000717AF"/>
    <w:rsid w:val="00071CB1"/>
    <w:rsid w:val="000733D1"/>
    <w:rsid w:val="000748C0"/>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06BC"/>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1E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2C5F"/>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03254"/>
  <w15:docId w15:val="{1F6A0151-A48E-42BD-B0CC-03237FD9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ta.org.uk/about-the-lta/policies-and-rules/safeguarding-protection/"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report-it.org.uk"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guarding@lta.org.uk"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9C2BBD7-E980-41D4-BE42-12B9B70F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4269</Words>
  <Characters>24338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28550</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Eddie Green</cp:lastModifiedBy>
  <cp:revision>4</cp:revision>
  <cp:lastPrinted>2016-12-13T12:59:00Z</cp:lastPrinted>
  <dcterms:created xsi:type="dcterms:W3CDTF">2019-07-01T16:10:00Z</dcterms:created>
  <dcterms:modified xsi:type="dcterms:W3CDTF">2020-05-26T14:10:00Z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